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4C6E0" w14:textId="77777777" w:rsidR="003858EB" w:rsidRDefault="003858EB" w:rsidP="003858EB">
      <w:pPr>
        <w:pStyle w:val="NormalWeb"/>
        <w:shd w:val="clear" w:color="auto" w:fill="FFFFFF"/>
        <w:spacing w:line="360" w:lineRule="atLeast"/>
        <w:jc w:val="right"/>
        <w:textAlignment w:val="baseline"/>
        <w:rPr>
          <w:rFonts w:asciiTheme="minorHAnsi" w:hAnsiTheme="minorHAnsi"/>
          <w:b/>
          <w:color w:val="333333"/>
          <w:sz w:val="28"/>
          <w:szCs w:val="28"/>
        </w:rPr>
      </w:pPr>
      <w:r w:rsidRPr="00A94A35">
        <w:rPr>
          <w:rFonts w:asciiTheme="minorHAnsi" w:hAnsiTheme="minorHAnsi"/>
          <w:b/>
          <w:color w:val="333333"/>
          <w:sz w:val="28"/>
          <w:szCs w:val="28"/>
        </w:rPr>
        <w:t xml:space="preserve">  </w:t>
      </w:r>
      <w:bookmarkStart w:id="0" w:name="_Hlk484499960"/>
      <w:bookmarkEnd w:id="0"/>
      <w:r>
        <w:rPr>
          <w:rFonts w:asciiTheme="minorHAnsi" w:hAnsiTheme="minorHAnsi"/>
          <w:b/>
          <w:noProof/>
          <w:color w:val="333333"/>
          <w:sz w:val="28"/>
          <w:szCs w:val="28"/>
        </w:rPr>
        <w:drawing>
          <wp:inline distT="0" distB="0" distL="0" distR="0" wp14:anchorId="0F02D368" wp14:editId="7A750755">
            <wp:extent cx="2032000" cy="914400"/>
            <wp:effectExtent l="0" t="0" r="6350" b="0"/>
            <wp:docPr id="1" name="Picture 1" descr="C:\Users\Paul\AppData\Local\Microsoft\Windows\INetCache\Content.Word\Superfantastic websit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ppData\Local\Microsoft\Windows\INetCache\Content.Word\Superfantastic websit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3307" cy="919488"/>
                    </a:xfrm>
                    <a:prstGeom prst="rect">
                      <a:avLst/>
                    </a:prstGeom>
                    <a:noFill/>
                    <a:ln>
                      <a:noFill/>
                    </a:ln>
                  </pic:spPr>
                </pic:pic>
              </a:graphicData>
            </a:graphic>
          </wp:inline>
        </w:drawing>
      </w:r>
    </w:p>
    <w:p w14:paraId="56EE4A3A" w14:textId="77777777" w:rsidR="003858EB" w:rsidRDefault="003858EB" w:rsidP="003858EB">
      <w:pPr>
        <w:pStyle w:val="NormalWeb"/>
        <w:shd w:val="clear" w:color="auto" w:fill="FFFFFF"/>
        <w:spacing w:line="360" w:lineRule="atLeast"/>
        <w:jc w:val="right"/>
        <w:textAlignment w:val="baseline"/>
        <w:rPr>
          <w:rFonts w:asciiTheme="minorHAnsi" w:hAnsiTheme="minorHAnsi"/>
          <w:b/>
          <w:color w:val="333333"/>
          <w:sz w:val="28"/>
          <w:szCs w:val="28"/>
        </w:rPr>
      </w:pPr>
    </w:p>
    <w:p w14:paraId="0EA27E85" w14:textId="77777777" w:rsidR="003858EB" w:rsidRDefault="003858EB" w:rsidP="003858EB">
      <w:r>
        <w:t>The table below maps out the key papers on child cycling and cycle training. Papers highlighted in bold are the most recent and robust primary studies. Papers in light grey text are by now quite old and were undertaken before the launch of Bikeability.</w:t>
      </w:r>
    </w:p>
    <w:tbl>
      <w:tblPr>
        <w:tblStyle w:val="SDGTableDefault"/>
        <w:tblW w:w="0" w:type="auto"/>
        <w:tblLook w:val="04A0" w:firstRow="1" w:lastRow="0" w:firstColumn="1" w:lastColumn="0" w:noHBand="0" w:noVBand="1"/>
      </w:tblPr>
      <w:tblGrid>
        <w:gridCol w:w="2554"/>
        <w:gridCol w:w="1997"/>
        <w:gridCol w:w="2015"/>
        <w:gridCol w:w="2352"/>
      </w:tblGrid>
      <w:tr w:rsidR="003858EB" w14:paraId="56F34FB9" w14:textId="77777777" w:rsidTr="00D735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7" w:type="dxa"/>
          </w:tcPr>
          <w:p w14:paraId="0ADC79EE" w14:textId="77777777" w:rsidR="003858EB" w:rsidRDefault="003858EB" w:rsidP="00D735B1"/>
        </w:tc>
        <w:tc>
          <w:tcPr>
            <w:tcW w:w="3407" w:type="dxa"/>
          </w:tcPr>
          <w:p w14:paraId="473E491F" w14:textId="77777777" w:rsidR="003858EB" w:rsidRDefault="003858EB" w:rsidP="00D735B1">
            <w:pPr>
              <w:cnfStyle w:val="100000000000" w:firstRow="1" w:lastRow="0" w:firstColumn="0" w:lastColumn="0" w:oddVBand="0" w:evenVBand="0" w:oddHBand="0" w:evenHBand="0" w:firstRowFirstColumn="0" w:firstRowLastColumn="0" w:lastRowFirstColumn="0" w:lastRowLastColumn="0"/>
            </w:pPr>
            <w:r>
              <w:t>Current (2014/15)</w:t>
            </w:r>
          </w:p>
        </w:tc>
        <w:tc>
          <w:tcPr>
            <w:tcW w:w="3408" w:type="dxa"/>
          </w:tcPr>
          <w:p w14:paraId="3B8803CD" w14:textId="77777777" w:rsidR="003858EB" w:rsidRDefault="003858EB" w:rsidP="00D735B1">
            <w:pPr>
              <w:cnfStyle w:val="100000000000" w:firstRow="1" w:lastRow="0" w:firstColumn="0" w:lastColumn="0" w:oddVBand="0" w:evenVBand="0" w:oddHBand="0" w:evenHBand="0" w:firstRowFirstColumn="0" w:firstRowLastColumn="0" w:lastRowFirstColumn="0" w:lastRowLastColumn="0"/>
            </w:pPr>
            <w:r>
              <w:t>Medium (2011 to 2013)</w:t>
            </w:r>
          </w:p>
        </w:tc>
        <w:tc>
          <w:tcPr>
            <w:tcW w:w="3408" w:type="dxa"/>
          </w:tcPr>
          <w:p w14:paraId="6C06ABA2" w14:textId="77777777" w:rsidR="003858EB" w:rsidRDefault="003858EB" w:rsidP="00D735B1">
            <w:pPr>
              <w:cnfStyle w:val="100000000000" w:firstRow="1" w:lastRow="0" w:firstColumn="0" w:lastColumn="0" w:oddVBand="0" w:evenVBand="0" w:oddHBand="0" w:evenHBand="0" w:firstRowFirstColumn="0" w:firstRowLastColumn="0" w:lastRowFirstColumn="0" w:lastRowLastColumn="0"/>
            </w:pPr>
            <w:r>
              <w:t>Older (pre-2011)</w:t>
            </w:r>
          </w:p>
        </w:tc>
      </w:tr>
      <w:tr w:rsidR="003858EB" w14:paraId="5EB804AD" w14:textId="77777777" w:rsidTr="00D73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7" w:type="dxa"/>
          </w:tcPr>
          <w:p w14:paraId="4F465F5F" w14:textId="77777777" w:rsidR="003858EB" w:rsidRDefault="003858EB" w:rsidP="00D735B1">
            <w:r>
              <w:t>Safety impacts</w:t>
            </w:r>
          </w:p>
        </w:tc>
        <w:tc>
          <w:tcPr>
            <w:tcW w:w="3407" w:type="dxa"/>
          </w:tcPr>
          <w:p w14:paraId="59C5A051" w14:textId="77777777" w:rsidR="003858EB" w:rsidRDefault="003858EB" w:rsidP="00D735B1">
            <w:pPr>
              <w:cnfStyle w:val="000000100000" w:firstRow="0" w:lastRow="0" w:firstColumn="0" w:lastColumn="0" w:oddVBand="0" w:evenVBand="0" w:oddHBand="1" w:evenHBand="0" w:firstRowFirstColumn="0" w:firstRowLastColumn="0" w:lastRowFirstColumn="0" w:lastRowLastColumn="0"/>
            </w:pPr>
            <w:r w:rsidRPr="00130837">
              <w:rPr>
                <w:b/>
              </w:rPr>
              <w:t>NFER hazard perception research</w:t>
            </w:r>
            <w:r>
              <w:t xml:space="preserve"> (2015)</w:t>
            </w:r>
          </w:p>
          <w:p w14:paraId="0DA43758" w14:textId="77777777" w:rsidR="003858EB" w:rsidRDefault="003858EB" w:rsidP="00D735B1">
            <w:pPr>
              <w:cnfStyle w:val="000000100000" w:firstRow="0" w:lastRow="0" w:firstColumn="0" w:lastColumn="0" w:oddVBand="0" w:evenVBand="0" w:oddHBand="1" w:evenHBand="0" w:firstRowFirstColumn="0" w:firstRowLastColumn="0" w:lastRowFirstColumn="0" w:lastRowLastColumn="0"/>
            </w:pPr>
            <w:r>
              <w:t>Narrative review of child cycling (2015)</w:t>
            </w:r>
          </w:p>
        </w:tc>
        <w:tc>
          <w:tcPr>
            <w:tcW w:w="3408" w:type="dxa"/>
          </w:tcPr>
          <w:p w14:paraId="6FEBDE5E" w14:textId="77777777" w:rsidR="003858EB" w:rsidRDefault="003858EB" w:rsidP="00D735B1">
            <w:pPr>
              <w:cnfStyle w:val="000000100000" w:firstRow="0" w:lastRow="0" w:firstColumn="0" w:lastColumn="0" w:oddVBand="0" w:evenVBand="0" w:oddHBand="1" w:evenHBand="0" w:firstRowFirstColumn="0" w:firstRowLastColumn="0" w:lastRowFirstColumn="0" w:lastRowLastColumn="0"/>
            </w:pPr>
            <w:proofErr w:type="spellStart"/>
            <w:r>
              <w:t>Childwise</w:t>
            </w:r>
            <w:proofErr w:type="spellEnd"/>
            <w:r>
              <w:t xml:space="preserve"> brand awareness (2011)</w:t>
            </w:r>
          </w:p>
          <w:p w14:paraId="46BEAD37" w14:textId="77777777" w:rsidR="003858EB" w:rsidRDefault="003858EB" w:rsidP="00D735B1">
            <w:pPr>
              <w:cnfStyle w:val="000000100000" w:firstRow="0" w:lastRow="0" w:firstColumn="0" w:lastColumn="0" w:oddVBand="0" w:evenVBand="0" w:oddHBand="1" w:evenHBand="0" w:firstRowFirstColumn="0" w:firstRowLastColumn="0" w:lastRowFirstColumn="0" w:lastRowLastColumn="0"/>
            </w:pPr>
            <w:r>
              <w:t>SDG brand awareness (2012)</w:t>
            </w:r>
          </w:p>
          <w:p w14:paraId="1C07F492" w14:textId="77777777" w:rsidR="003858EB" w:rsidRDefault="003858EB" w:rsidP="00D735B1">
            <w:pPr>
              <w:cnfStyle w:val="000000100000" w:firstRow="0" w:lastRow="0" w:firstColumn="0" w:lastColumn="0" w:oddVBand="0" w:evenVBand="0" w:oddHBand="1" w:evenHBand="0" w:firstRowFirstColumn="0" w:firstRowLastColumn="0" w:lastRowFirstColumn="0" w:lastRowLastColumn="0"/>
            </w:pPr>
            <w:proofErr w:type="spellStart"/>
            <w:r>
              <w:t>Ducheyne</w:t>
            </w:r>
            <w:proofErr w:type="spellEnd"/>
            <w:r>
              <w:t xml:space="preserve"> cycling skills (2013)</w:t>
            </w:r>
          </w:p>
        </w:tc>
        <w:tc>
          <w:tcPr>
            <w:tcW w:w="3408" w:type="dxa"/>
          </w:tcPr>
          <w:p w14:paraId="783E337E" w14:textId="77777777" w:rsidR="003858EB" w:rsidRPr="00130837" w:rsidRDefault="003858EB" w:rsidP="00D735B1">
            <w:pPr>
              <w:cnfStyle w:val="000000100000" w:firstRow="0" w:lastRow="0" w:firstColumn="0" w:lastColumn="0" w:oddVBand="0" w:evenVBand="0" w:oddHBand="1" w:evenHBand="0" w:firstRowFirstColumn="0" w:firstRowLastColumn="0" w:lastRowFirstColumn="0" w:lastRowLastColumn="0"/>
              <w:rPr>
                <w:color w:val="7F7F7F" w:themeColor="text1" w:themeTint="80"/>
              </w:rPr>
            </w:pPr>
            <w:proofErr w:type="spellStart"/>
            <w:r w:rsidRPr="00130837">
              <w:rPr>
                <w:color w:val="7F7F7F" w:themeColor="text1" w:themeTint="80"/>
              </w:rPr>
              <w:t>RoSPA</w:t>
            </w:r>
            <w:proofErr w:type="spellEnd"/>
            <w:r w:rsidRPr="00130837">
              <w:rPr>
                <w:color w:val="7F7F7F" w:themeColor="text1" w:themeTint="80"/>
              </w:rPr>
              <w:t xml:space="preserve"> effectiveness of training (2001)</w:t>
            </w:r>
          </w:p>
          <w:p w14:paraId="054A5A4B" w14:textId="77777777" w:rsidR="003858EB" w:rsidRPr="00130837" w:rsidRDefault="003858EB" w:rsidP="00D735B1">
            <w:pPr>
              <w:cnfStyle w:val="000000100000" w:firstRow="0" w:lastRow="0" w:firstColumn="0" w:lastColumn="0" w:oddVBand="0" w:evenVBand="0" w:oddHBand="1" w:evenHBand="0" w:firstRowFirstColumn="0" w:firstRowLastColumn="0" w:lastRowFirstColumn="0" w:lastRowLastColumn="0"/>
              <w:rPr>
                <w:color w:val="7F7F7F" w:themeColor="text1" w:themeTint="80"/>
              </w:rPr>
            </w:pPr>
            <w:r w:rsidRPr="00130837">
              <w:rPr>
                <w:color w:val="7F7F7F" w:themeColor="text1" w:themeTint="80"/>
              </w:rPr>
              <w:t>TRL effectiveness of training (1996)</w:t>
            </w:r>
          </w:p>
          <w:p w14:paraId="1076A9EB" w14:textId="77777777" w:rsidR="003858EB" w:rsidRDefault="003858EB" w:rsidP="00D735B1">
            <w:pPr>
              <w:cnfStyle w:val="000000100000" w:firstRow="0" w:lastRow="0" w:firstColumn="0" w:lastColumn="0" w:oddVBand="0" w:evenVBand="0" w:oddHBand="1" w:evenHBand="0" w:firstRowFirstColumn="0" w:firstRowLastColumn="0" w:lastRowFirstColumn="0" w:lastRowLastColumn="0"/>
            </w:pPr>
            <w:r>
              <w:t>Ipsos MORI parent survey (2010)</w:t>
            </w:r>
          </w:p>
          <w:p w14:paraId="33615877" w14:textId="77777777" w:rsidR="003858EB" w:rsidRDefault="003858EB" w:rsidP="00D735B1">
            <w:pPr>
              <w:cnfStyle w:val="000000100000" w:firstRow="0" w:lastRow="0" w:firstColumn="0" w:lastColumn="0" w:oddVBand="0" w:evenVBand="0" w:oddHBand="1" w:evenHBand="0" w:firstRowFirstColumn="0" w:firstRowLastColumn="0" w:lastRowFirstColumn="0" w:lastRowLastColumn="0"/>
            </w:pPr>
            <w:r>
              <w:t>Mott MacDonald Merseyside (2009)</w:t>
            </w:r>
          </w:p>
          <w:p w14:paraId="388B9AA2" w14:textId="77777777" w:rsidR="003858EB" w:rsidRDefault="003858EB" w:rsidP="00D735B1">
            <w:pPr>
              <w:cnfStyle w:val="000000100000" w:firstRow="0" w:lastRow="0" w:firstColumn="0" w:lastColumn="0" w:oddVBand="0" w:evenVBand="0" w:oddHBand="1" w:evenHBand="0" w:firstRowFirstColumn="0" w:firstRowLastColumn="0" w:lastRowFirstColumn="0" w:lastRowLastColumn="0"/>
            </w:pPr>
            <w:r w:rsidRPr="00130837">
              <w:rPr>
                <w:color w:val="7F7F7F" w:themeColor="text1" w:themeTint="80"/>
              </w:rPr>
              <w:t>Colwell and Culverwell Bromley (2002)</w:t>
            </w:r>
          </w:p>
        </w:tc>
      </w:tr>
      <w:tr w:rsidR="003858EB" w14:paraId="6BD804B7" w14:textId="77777777" w:rsidTr="00D735B1">
        <w:tc>
          <w:tcPr>
            <w:cnfStyle w:val="001000000000" w:firstRow="0" w:lastRow="0" w:firstColumn="1" w:lastColumn="0" w:oddVBand="0" w:evenVBand="0" w:oddHBand="0" w:evenHBand="0" w:firstRowFirstColumn="0" w:firstRowLastColumn="0" w:lastRowFirstColumn="0" w:lastRowLastColumn="0"/>
            <w:tcW w:w="3407" w:type="dxa"/>
          </w:tcPr>
          <w:p w14:paraId="54985A28" w14:textId="77777777" w:rsidR="003858EB" w:rsidRDefault="003858EB" w:rsidP="00D735B1">
            <w:r>
              <w:t>Frequency of cycling</w:t>
            </w:r>
          </w:p>
        </w:tc>
        <w:tc>
          <w:tcPr>
            <w:tcW w:w="3407" w:type="dxa"/>
          </w:tcPr>
          <w:p w14:paraId="73C78D4A" w14:textId="77777777" w:rsidR="003858EB" w:rsidRDefault="003858EB" w:rsidP="00D735B1">
            <w:pPr>
              <w:cnfStyle w:val="000000000000" w:firstRow="0" w:lastRow="0" w:firstColumn="0" w:lastColumn="0" w:oddVBand="0" w:evenVBand="0" w:oddHBand="0" w:evenHBand="0" w:firstRowFirstColumn="0" w:firstRowLastColumn="0" w:lastRowFirstColumn="0" w:lastRowLastColumn="0"/>
            </w:pPr>
            <w:r>
              <w:t>NFER hazard perception research (2015)</w:t>
            </w:r>
          </w:p>
          <w:p w14:paraId="49844B24" w14:textId="77777777" w:rsidR="003858EB" w:rsidRDefault="003858EB" w:rsidP="00D735B1">
            <w:pPr>
              <w:cnfStyle w:val="000000000000" w:firstRow="0" w:lastRow="0" w:firstColumn="0" w:lastColumn="0" w:oddVBand="0" w:evenVBand="0" w:oddHBand="0" w:evenHBand="0" w:firstRowFirstColumn="0" w:firstRowLastColumn="0" w:lastRowFirstColumn="0" w:lastRowLastColumn="0"/>
            </w:pPr>
            <w:r>
              <w:t>TABS school survey (2014)</w:t>
            </w:r>
          </w:p>
          <w:p w14:paraId="73437646" w14:textId="77777777" w:rsidR="003858EB" w:rsidRDefault="003858EB" w:rsidP="00D735B1">
            <w:pPr>
              <w:cnfStyle w:val="000000000000" w:firstRow="0" w:lastRow="0" w:firstColumn="0" w:lastColumn="0" w:oddVBand="0" w:evenVBand="0" w:oddHBand="0" w:evenHBand="0" w:firstRowFirstColumn="0" w:firstRowLastColumn="0" w:lastRowFirstColumn="0" w:lastRowLastColumn="0"/>
            </w:pPr>
            <w:r>
              <w:t>Ipsos MORI parent survey (2015)</w:t>
            </w:r>
          </w:p>
        </w:tc>
        <w:tc>
          <w:tcPr>
            <w:tcW w:w="3408" w:type="dxa"/>
          </w:tcPr>
          <w:p w14:paraId="7E1D3F3B" w14:textId="77777777" w:rsidR="003858EB" w:rsidRDefault="003858EB" w:rsidP="00D735B1">
            <w:pPr>
              <w:cnfStyle w:val="000000000000" w:firstRow="0" w:lastRow="0" w:firstColumn="0" w:lastColumn="0" w:oddVBand="0" w:evenVBand="0" w:oddHBand="0" w:evenHBand="0" w:firstRowFirstColumn="0" w:firstRowLastColumn="0" w:lastRowFirstColumn="0" w:lastRowLastColumn="0"/>
            </w:pPr>
            <w:r>
              <w:t>SDG school census data Herts (2012)</w:t>
            </w:r>
          </w:p>
          <w:p w14:paraId="430FB88A" w14:textId="77777777" w:rsidR="003858EB" w:rsidRDefault="003858EB" w:rsidP="00D735B1">
            <w:pPr>
              <w:cnfStyle w:val="000000000000" w:firstRow="0" w:lastRow="0" w:firstColumn="0" w:lastColumn="0" w:oddVBand="0" w:evenVBand="0" w:oddHBand="0" w:evenHBand="0" w:firstRowFirstColumn="0" w:firstRowLastColumn="0" w:lastRowFirstColumn="0" w:lastRowLastColumn="0"/>
            </w:pPr>
            <w:r>
              <w:t>SDG Tower Hamlets (2011)</w:t>
            </w:r>
          </w:p>
        </w:tc>
        <w:tc>
          <w:tcPr>
            <w:tcW w:w="3408" w:type="dxa"/>
          </w:tcPr>
          <w:p w14:paraId="4D275495" w14:textId="77777777" w:rsidR="003858EB" w:rsidRDefault="003858EB" w:rsidP="00D735B1">
            <w:pPr>
              <w:cnfStyle w:val="000000000000" w:firstRow="0" w:lastRow="0" w:firstColumn="0" w:lastColumn="0" w:oddVBand="0" w:evenVBand="0" w:oddHBand="0" w:evenHBand="0" w:firstRowFirstColumn="0" w:firstRowLastColumn="0" w:lastRowFirstColumn="0" w:lastRowLastColumn="0"/>
            </w:pPr>
            <w:r>
              <w:t>Atkins TTSI evaluation (2010)</w:t>
            </w:r>
          </w:p>
          <w:p w14:paraId="78E4B8C9" w14:textId="77777777" w:rsidR="003858EB" w:rsidRDefault="003858EB" w:rsidP="00D735B1">
            <w:pPr>
              <w:cnfStyle w:val="000000000000" w:firstRow="0" w:lastRow="0" w:firstColumn="0" w:lastColumn="0" w:oddVBand="0" w:evenVBand="0" w:oddHBand="0" w:evenHBand="0" w:firstRowFirstColumn="0" w:firstRowLastColumn="0" w:lastRowFirstColumn="0" w:lastRowLastColumn="0"/>
            </w:pPr>
            <w:r>
              <w:t>Ipsos MORI parent survey (2010)</w:t>
            </w:r>
          </w:p>
          <w:p w14:paraId="7991DCFE" w14:textId="77777777" w:rsidR="003858EB" w:rsidRDefault="003858EB" w:rsidP="00D735B1">
            <w:pPr>
              <w:cnfStyle w:val="000000000000" w:firstRow="0" w:lastRow="0" w:firstColumn="0" w:lastColumn="0" w:oddVBand="0" w:evenVBand="0" w:oddHBand="0" w:evenHBand="0" w:firstRowFirstColumn="0" w:firstRowLastColumn="0" w:lastRowFirstColumn="0" w:lastRowLastColumn="0"/>
            </w:pPr>
            <w:r>
              <w:t>Mott MacDonald Merseyside (2009)</w:t>
            </w:r>
          </w:p>
        </w:tc>
      </w:tr>
      <w:tr w:rsidR="003858EB" w14:paraId="4860A7FD" w14:textId="77777777" w:rsidTr="00D73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7" w:type="dxa"/>
          </w:tcPr>
          <w:p w14:paraId="5939D7D7" w14:textId="77777777" w:rsidR="003858EB" w:rsidRDefault="003858EB" w:rsidP="00D735B1">
            <w:r>
              <w:t>Delivery models</w:t>
            </w:r>
          </w:p>
        </w:tc>
        <w:tc>
          <w:tcPr>
            <w:tcW w:w="3407" w:type="dxa"/>
          </w:tcPr>
          <w:p w14:paraId="1B1A3A96" w14:textId="77777777" w:rsidR="003858EB" w:rsidRPr="00504A11" w:rsidRDefault="003858EB" w:rsidP="00D735B1">
            <w:pPr>
              <w:cnfStyle w:val="000000100000" w:firstRow="0" w:lastRow="0" w:firstColumn="0" w:lastColumn="0" w:oddVBand="0" w:evenVBand="0" w:oddHBand="1" w:evenHBand="0" w:firstRowFirstColumn="0" w:firstRowLastColumn="0" w:lastRowFirstColumn="0" w:lastRowLastColumn="0"/>
              <w:rPr>
                <w:i/>
              </w:rPr>
            </w:pPr>
          </w:p>
        </w:tc>
        <w:tc>
          <w:tcPr>
            <w:tcW w:w="3408" w:type="dxa"/>
          </w:tcPr>
          <w:p w14:paraId="58463A0C" w14:textId="77777777" w:rsidR="003858EB" w:rsidRDefault="003858EB" w:rsidP="00D735B1">
            <w:pPr>
              <w:cnfStyle w:val="000000100000" w:firstRow="0" w:lastRow="0" w:firstColumn="0" w:lastColumn="0" w:oddVBand="0" w:evenVBand="0" w:oddHBand="1" w:evenHBand="0" w:firstRowFirstColumn="0" w:firstRowLastColumn="0" w:lastRowFirstColumn="0" w:lastRowLastColumn="0"/>
            </w:pPr>
            <w:r>
              <w:t>Transport Scotland parental (2011)</w:t>
            </w:r>
          </w:p>
          <w:p w14:paraId="192DC8FC" w14:textId="77777777" w:rsidR="003858EB" w:rsidRDefault="003858EB" w:rsidP="00D735B1">
            <w:pPr>
              <w:cnfStyle w:val="000000100000" w:firstRow="0" w:lastRow="0" w:firstColumn="0" w:lastColumn="0" w:oddVBand="0" w:evenVBand="0" w:oddHBand="1" w:evenHBand="0" w:firstRowFirstColumn="0" w:firstRowLastColumn="0" w:lastRowFirstColumn="0" w:lastRowLastColumn="0"/>
            </w:pPr>
            <w:proofErr w:type="spellStart"/>
            <w:r>
              <w:t>Ducheyne</w:t>
            </w:r>
            <w:proofErr w:type="spellEnd"/>
            <w:r>
              <w:t xml:space="preserve"> cycling skills (2013)</w:t>
            </w:r>
          </w:p>
        </w:tc>
        <w:tc>
          <w:tcPr>
            <w:tcW w:w="3408" w:type="dxa"/>
          </w:tcPr>
          <w:p w14:paraId="0C84313C" w14:textId="77777777" w:rsidR="003858EB" w:rsidRPr="00130837" w:rsidRDefault="003858EB" w:rsidP="00D735B1">
            <w:pPr>
              <w:cnfStyle w:val="000000100000" w:firstRow="0" w:lastRow="0" w:firstColumn="0" w:lastColumn="0" w:oddVBand="0" w:evenVBand="0" w:oddHBand="1" w:evenHBand="0" w:firstRowFirstColumn="0" w:firstRowLastColumn="0" w:lastRowFirstColumn="0" w:lastRowLastColumn="0"/>
              <w:rPr>
                <w:color w:val="7F7F7F" w:themeColor="text1" w:themeTint="80"/>
              </w:rPr>
            </w:pPr>
            <w:proofErr w:type="spellStart"/>
            <w:r w:rsidRPr="00130837">
              <w:rPr>
                <w:color w:val="7F7F7F" w:themeColor="text1" w:themeTint="80"/>
              </w:rPr>
              <w:t>RoSPA</w:t>
            </w:r>
            <w:proofErr w:type="spellEnd"/>
            <w:r w:rsidRPr="00130837">
              <w:rPr>
                <w:color w:val="7F7F7F" w:themeColor="text1" w:themeTint="80"/>
              </w:rPr>
              <w:t xml:space="preserve"> effectiveness of training (2001)</w:t>
            </w:r>
          </w:p>
          <w:p w14:paraId="46617B6D" w14:textId="77777777" w:rsidR="003858EB" w:rsidRDefault="003858EB" w:rsidP="00D735B1">
            <w:pPr>
              <w:cnfStyle w:val="000000100000" w:firstRow="0" w:lastRow="0" w:firstColumn="0" w:lastColumn="0" w:oddVBand="0" w:evenVBand="0" w:oddHBand="1" w:evenHBand="0" w:firstRowFirstColumn="0" w:firstRowLastColumn="0" w:lastRowFirstColumn="0" w:lastRowLastColumn="0"/>
            </w:pPr>
            <w:r>
              <w:t>SDG Lambeth (2008)</w:t>
            </w:r>
          </w:p>
          <w:p w14:paraId="24C8DA05" w14:textId="77777777" w:rsidR="003858EB" w:rsidRDefault="003858EB" w:rsidP="00D735B1">
            <w:pPr>
              <w:cnfStyle w:val="000000100000" w:firstRow="0" w:lastRow="0" w:firstColumn="0" w:lastColumn="0" w:oddVBand="0" w:evenVBand="0" w:oddHBand="1" w:evenHBand="0" w:firstRowFirstColumn="0" w:firstRowLastColumn="0" w:lastRowFirstColumn="0" w:lastRowLastColumn="0"/>
            </w:pPr>
            <w:r>
              <w:t>Macarthur Toronto scheme (1998)</w:t>
            </w:r>
          </w:p>
        </w:tc>
      </w:tr>
      <w:tr w:rsidR="003858EB" w14:paraId="111105EE" w14:textId="77777777" w:rsidTr="00D735B1">
        <w:tc>
          <w:tcPr>
            <w:cnfStyle w:val="001000000000" w:firstRow="0" w:lastRow="0" w:firstColumn="1" w:lastColumn="0" w:oddVBand="0" w:evenVBand="0" w:oddHBand="0" w:evenHBand="0" w:firstRowFirstColumn="0" w:firstRowLastColumn="0" w:lastRowFirstColumn="0" w:lastRowLastColumn="0"/>
            <w:tcW w:w="3407" w:type="dxa"/>
          </w:tcPr>
          <w:p w14:paraId="3F197B43" w14:textId="77777777" w:rsidR="003858EB" w:rsidRDefault="003858EB" w:rsidP="00D735B1">
            <w:r>
              <w:t>Barriers to child cycling:</w:t>
            </w:r>
          </w:p>
          <w:p w14:paraId="4F9A97D3" w14:textId="77777777" w:rsidR="003858EB" w:rsidRDefault="003858EB" w:rsidP="003858EB">
            <w:pPr>
              <w:pStyle w:val="ListParagraph"/>
              <w:numPr>
                <w:ilvl w:val="0"/>
                <w:numId w:val="1"/>
              </w:numPr>
              <w:spacing w:before="50" w:after="50" w:line="180" w:lineRule="atLeast"/>
            </w:pPr>
            <w:r>
              <w:t>Parental perception of road danger</w:t>
            </w:r>
          </w:p>
          <w:p w14:paraId="78BF555D" w14:textId="77777777" w:rsidR="003858EB" w:rsidRDefault="003858EB" w:rsidP="003858EB">
            <w:pPr>
              <w:pStyle w:val="ListParagraph"/>
              <w:numPr>
                <w:ilvl w:val="0"/>
                <w:numId w:val="1"/>
              </w:numPr>
              <w:spacing w:before="50" w:after="50" w:line="180" w:lineRule="atLeast"/>
            </w:pPr>
            <w:r>
              <w:t>Parent to parent peer pressure</w:t>
            </w:r>
          </w:p>
          <w:p w14:paraId="5F3AB736" w14:textId="77777777" w:rsidR="003858EB" w:rsidRDefault="003858EB" w:rsidP="003858EB">
            <w:pPr>
              <w:pStyle w:val="ListParagraph"/>
              <w:numPr>
                <w:ilvl w:val="0"/>
                <w:numId w:val="1"/>
              </w:numPr>
              <w:spacing w:before="50" w:after="50" w:line="180" w:lineRule="atLeast"/>
            </w:pPr>
            <w:r>
              <w:t>Mode decision makers</w:t>
            </w:r>
          </w:p>
          <w:p w14:paraId="6A937825" w14:textId="77777777" w:rsidR="003858EB" w:rsidRDefault="003858EB" w:rsidP="003858EB">
            <w:pPr>
              <w:pStyle w:val="ListParagraph"/>
              <w:numPr>
                <w:ilvl w:val="0"/>
                <w:numId w:val="1"/>
              </w:numPr>
              <w:spacing w:before="50" w:after="50" w:line="180" w:lineRule="atLeast"/>
            </w:pPr>
            <w:r>
              <w:t>Distance</w:t>
            </w:r>
          </w:p>
          <w:p w14:paraId="36750200" w14:textId="77777777" w:rsidR="003858EB" w:rsidRDefault="003858EB" w:rsidP="003858EB">
            <w:pPr>
              <w:pStyle w:val="ListParagraph"/>
              <w:numPr>
                <w:ilvl w:val="0"/>
                <w:numId w:val="1"/>
              </w:numPr>
              <w:spacing w:before="50" w:after="50" w:line="180" w:lineRule="atLeast"/>
            </w:pPr>
            <w:r>
              <w:t>Routine</w:t>
            </w:r>
          </w:p>
          <w:p w14:paraId="41DA9CAE" w14:textId="77777777" w:rsidR="003858EB" w:rsidRDefault="003858EB" w:rsidP="003858EB">
            <w:pPr>
              <w:pStyle w:val="ListParagraph"/>
              <w:numPr>
                <w:ilvl w:val="0"/>
                <w:numId w:val="1"/>
              </w:numPr>
              <w:spacing w:before="50" w:after="50" w:line="180" w:lineRule="atLeast"/>
            </w:pPr>
            <w:r>
              <w:t>Car culture</w:t>
            </w:r>
          </w:p>
          <w:p w14:paraId="7AB9A183" w14:textId="77777777" w:rsidR="003858EB" w:rsidRDefault="003858EB" w:rsidP="003858EB">
            <w:pPr>
              <w:pStyle w:val="ListParagraph"/>
              <w:numPr>
                <w:ilvl w:val="0"/>
                <w:numId w:val="1"/>
              </w:numPr>
              <w:spacing w:before="50" w:after="50" w:line="180" w:lineRule="atLeast"/>
            </w:pPr>
            <w:r>
              <w:t>Socio-demographics</w:t>
            </w:r>
          </w:p>
          <w:p w14:paraId="3E762AC8" w14:textId="77777777" w:rsidR="003858EB" w:rsidRDefault="003858EB" w:rsidP="003858EB">
            <w:pPr>
              <w:pStyle w:val="ListParagraph"/>
              <w:numPr>
                <w:ilvl w:val="0"/>
                <w:numId w:val="1"/>
              </w:numPr>
              <w:spacing w:before="50" w:after="50" w:line="180" w:lineRule="atLeast"/>
            </w:pPr>
            <w:r>
              <w:t>Child attitudes (boys/girls)</w:t>
            </w:r>
          </w:p>
          <w:p w14:paraId="56540ECD" w14:textId="77777777" w:rsidR="003858EB" w:rsidRDefault="003858EB" w:rsidP="003858EB">
            <w:pPr>
              <w:pStyle w:val="ListParagraph"/>
              <w:numPr>
                <w:ilvl w:val="0"/>
                <w:numId w:val="1"/>
              </w:numPr>
              <w:spacing w:before="50" w:after="50" w:line="180" w:lineRule="atLeast"/>
            </w:pPr>
            <w:r>
              <w:t>Terrain, weather, lighting</w:t>
            </w:r>
          </w:p>
          <w:p w14:paraId="71C8A7A2" w14:textId="77777777" w:rsidR="003858EB" w:rsidRDefault="003858EB" w:rsidP="003858EB">
            <w:pPr>
              <w:pStyle w:val="ListParagraph"/>
              <w:numPr>
                <w:ilvl w:val="0"/>
                <w:numId w:val="1"/>
              </w:numPr>
              <w:spacing w:before="50" w:after="50" w:line="180" w:lineRule="atLeast"/>
            </w:pPr>
            <w:r>
              <w:t xml:space="preserve">Independent mobility </w:t>
            </w:r>
          </w:p>
          <w:p w14:paraId="39D3F7E6" w14:textId="77777777" w:rsidR="003858EB" w:rsidRDefault="003858EB" w:rsidP="003858EB">
            <w:pPr>
              <w:pStyle w:val="ListParagraph"/>
              <w:numPr>
                <w:ilvl w:val="0"/>
                <w:numId w:val="1"/>
              </w:numPr>
              <w:spacing w:before="50" w:after="50" w:line="180" w:lineRule="atLeast"/>
            </w:pPr>
            <w:r>
              <w:t>Cycle ownership</w:t>
            </w:r>
          </w:p>
          <w:p w14:paraId="13DA0AC0" w14:textId="77777777" w:rsidR="003858EB" w:rsidRPr="00B65187" w:rsidRDefault="003858EB" w:rsidP="003858EB">
            <w:pPr>
              <w:pStyle w:val="ListParagraph"/>
              <w:numPr>
                <w:ilvl w:val="0"/>
                <w:numId w:val="1"/>
              </w:numPr>
              <w:spacing w:before="50" w:after="50" w:line="180" w:lineRule="atLeast"/>
            </w:pPr>
            <w:r>
              <w:t>Free bus travel</w:t>
            </w:r>
          </w:p>
        </w:tc>
        <w:tc>
          <w:tcPr>
            <w:tcW w:w="3407" w:type="dxa"/>
          </w:tcPr>
          <w:p w14:paraId="2EDB1336" w14:textId="77777777" w:rsidR="003858EB" w:rsidRDefault="003858EB" w:rsidP="00D735B1">
            <w:pPr>
              <w:cnfStyle w:val="000000000000" w:firstRow="0" w:lastRow="0" w:firstColumn="0" w:lastColumn="0" w:oddVBand="0" w:evenVBand="0" w:oddHBand="0" w:evenHBand="0" w:firstRowFirstColumn="0" w:firstRowLastColumn="0" w:lastRowFirstColumn="0" w:lastRowLastColumn="0"/>
            </w:pPr>
          </w:p>
        </w:tc>
        <w:tc>
          <w:tcPr>
            <w:tcW w:w="3408" w:type="dxa"/>
          </w:tcPr>
          <w:p w14:paraId="257CBF95" w14:textId="77777777" w:rsidR="003858EB" w:rsidRDefault="003858EB" w:rsidP="00D735B1">
            <w:pPr>
              <w:cnfStyle w:val="000000000000" w:firstRow="0" w:lastRow="0" w:firstColumn="0" w:lastColumn="0" w:oddVBand="0" w:evenVBand="0" w:oddHBand="0" w:evenHBand="0" w:firstRowFirstColumn="0" w:firstRowLastColumn="0" w:lastRowFirstColumn="0" w:lastRowLastColumn="0"/>
            </w:pPr>
            <w:r>
              <w:t>Benson and Scriven mode choice (2012)</w:t>
            </w:r>
          </w:p>
          <w:p w14:paraId="3DCE7D1D" w14:textId="77777777" w:rsidR="003858EB" w:rsidRDefault="003858EB" w:rsidP="00D735B1">
            <w:pPr>
              <w:cnfStyle w:val="000000000000" w:firstRow="0" w:lastRow="0" w:firstColumn="0" w:lastColumn="0" w:oddVBand="0" w:evenVBand="0" w:oddHBand="0" w:evenHBand="0" w:firstRowFirstColumn="0" w:firstRowLastColumn="0" w:lastRowFirstColumn="0" w:lastRowLastColumn="0"/>
            </w:pPr>
            <w:proofErr w:type="spellStart"/>
            <w:r>
              <w:t>Ducheyne</w:t>
            </w:r>
            <w:proofErr w:type="spellEnd"/>
            <w:r>
              <w:t xml:space="preserve"> distance (2012)</w:t>
            </w:r>
          </w:p>
          <w:p w14:paraId="35A28E0A" w14:textId="77777777" w:rsidR="003858EB" w:rsidRDefault="003858EB" w:rsidP="00D735B1">
            <w:pPr>
              <w:cnfStyle w:val="000000000000" w:firstRow="0" w:lastRow="0" w:firstColumn="0" w:lastColumn="0" w:oddVBand="0" w:evenVBand="0" w:oddHBand="0" w:evenHBand="0" w:firstRowFirstColumn="0" w:firstRowLastColumn="0" w:lastRowFirstColumn="0" w:lastRowLastColumn="0"/>
            </w:pPr>
            <w:r>
              <w:t>Trapp routine (2011)</w:t>
            </w:r>
          </w:p>
          <w:p w14:paraId="382FDA91" w14:textId="77777777" w:rsidR="003858EB" w:rsidRDefault="003858EB" w:rsidP="00D735B1">
            <w:pPr>
              <w:cnfStyle w:val="000000000000" w:firstRow="0" w:lastRow="0" w:firstColumn="0" w:lastColumn="0" w:oddVBand="0" w:evenVBand="0" w:oddHBand="0" w:evenHBand="0" w:firstRowFirstColumn="0" w:firstRowLastColumn="0" w:lastRowFirstColumn="0" w:lastRowLastColumn="0"/>
            </w:pPr>
            <w:proofErr w:type="spellStart"/>
            <w:r>
              <w:t>Loitz</w:t>
            </w:r>
            <w:proofErr w:type="spellEnd"/>
            <w:r>
              <w:t xml:space="preserve"> car culture (2013)</w:t>
            </w:r>
          </w:p>
          <w:p w14:paraId="1EE0CAB7" w14:textId="77777777" w:rsidR="003858EB" w:rsidRDefault="003858EB" w:rsidP="00D735B1">
            <w:pPr>
              <w:cnfStyle w:val="000000000000" w:firstRow="0" w:lastRow="0" w:firstColumn="0" w:lastColumn="0" w:oddVBand="0" w:evenVBand="0" w:oddHBand="0" w:evenHBand="0" w:firstRowFirstColumn="0" w:firstRowLastColumn="0" w:lastRowFirstColumn="0" w:lastRowLastColumn="0"/>
            </w:pPr>
            <w:r>
              <w:t>Mott MacDonald Merseyside (2012)</w:t>
            </w:r>
          </w:p>
          <w:p w14:paraId="30CD8062" w14:textId="77777777" w:rsidR="003858EB" w:rsidRDefault="003858EB" w:rsidP="00D735B1">
            <w:pPr>
              <w:cnfStyle w:val="000000000000" w:firstRow="0" w:lastRow="0" w:firstColumn="0" w:lastColumn="0" w:oddVBand="0" w:evenVBand="0" w:oddHBand="0" w:evenHBand="0" w:firstRowFirstColumn="0" w:firstRowLastColumn="0" w:lastRowFirstColumn="0" w:lastRowLastColumn="0"/>
            </w:pPr>
            <w:r>
              <w:t>Edwards bus impacts (2013)</w:t>
            </w:r>
          </w:p>
        </w:tc>
        <w:tc>
          <w:tcPr>
            <w:tcW w:w="3408" w:type="dxa"/>
          </w:tcPr>
          <w:p w14:paraId="56C30864" w14:textId="77777777" w:rsidR="003858EB" w:rsidRDefault="003858EB" w:rsidP="00D735B1">
            <w:pPr>
              <w:cnfStyle w:val="000000000000" w:firstRow="0" w:lastRow="0" w:firstColumn="0" w:lastColumn="0" w:oddVBand="0" w:evenVBand="0" w:oddHBand="0" w:evenHBand="0" w:firstRowFirstColumn="0" w:firstRowLastColumn="0" w:lastRowFirstColumn="0" w:lastRowLastColumn="0"/>
            </w:pPr>
            <w:proofErr w:type="spellStart"/>
            <w:r>
              <w:t>Lorenc</w:t>
            </w:r>
            <w:proofErr w:type="spellEnd"/>
            <w:r>
              <w:t xml:space="preserve"> Parent peer pressure (2008)</w:t>
            </w:r>
          </w:p>
          <w:p w14:paraId="1325C789" w14:textId="77777777" w:rsidR="003858EB" w:rsidRDefault="003858EB" w:rsidP="00D735B1">
            <w:pPr>
              <w:cnfStyle w:val="000000000000" w:firstRow="0" w:lastRow="0" w:firstColumn="0" w:lastColumn="0" w:oddVBand="0" w:evenVBand="0" w:oddHBand="0" w:evenHBand="0" w:firstRowFirstColumn="0" w:firstRowLastColumn="0" w:lastRowFirstColumn="0" w:lastRowLastColumn="0"/>
            </w:pPr>
            <w:proofErr w:type="spellStart"/>
            <w:r>
              <w:t>Ligtermoet</w:t>
            </w:r>
            <w:proofErr w:type="spellEnd"/>
            <w:r>
              <w:t xml:space="preserve"> distance to school (2010)</w:t>
            </w:r>
          </w:p>
          <w:p w14:paraId="2B649921" w14:textId="77777777" w:rsidR="003858EB" w:rsidRDefault="003858EB" w:rsidP="00D735B1">
            <w:pPr>
              <w:cnfStyle w:val="000000000000" w:firstRow="0" w:lastRow="0" w:firstColumn="0" w:lastColumn="0" w:oddVBand="0" w:evenVBand="0" w:oddHBand="0" w:evenHBand="0" w:firstRowFirstColumn="0" w:firstRowLastColumn="0" w:lastRowFirstColumn="0" w:lastRowLastColumn="0"/>
            </w:pPr>
            <w:r>
              <w:t>Atkins TTSI evaluation (2010)</w:t>
            </w:r>
          </w:p>
          <w:p w14:paraId="4D534FF8" w14:textId="77777777" w:rsidR="003858EB" w:rsidRDefault="003858EB" w:rsidP="00D735B1">
            <w:pPr>
              <w:cnfStyle w:val="000000000000" w:firstRow="0" w:lastRow="0" w:firstColumn="0" w:lastColumn="0" w:oddVBand="0" w:evenVBand="0" w:oddHBand="0" w:evenHBand="0" w:firstRowFirstColumn="0" w:firstRowLastColumn="0" w:lastRowFirstColumn="0" w:lastRowLastColumn="0"/>
            </w:pPr>
            <w:r>
              <w:t xml:space="preserve">TfL </w:t>
            </w:r>
            <w:proofErr w:type="spellStart"/>
            <w:r>
              <w:t>sociodemographics</w:t>
            </w:r>
            <w:proofErr w:type="spellEnd"/>
            <w:r>
              <w:t xml:space="preserve"> (2008)</w:t>
            </w:r>
          </w:p>
          <w:p w14:paraId="102FB3CA" w14:textId="77777777" w:rsidR="003858EB" w:rsidRDefault="003858EB" w:rsidP="00D735B1">
            <w:pPr>
              <w:cnfStyle w:val="000000000000" w:firstRow="0" w:lastRow="0" w:firstColumn="0" w:lastColumn="0" w:oddVBand="0" w:evenVBand="0" w:oddHBand="0" w:evenHBand="0" w:firstRowFirstColumn="0" w:firstRowLastColumn="0" w:lastRowFirstColumn="0" w:lastRowLastColumn="0"/>
            </w:pPr>
            <w:r>
              <w:t>TfL cycle ownership (2008)</w:t>
            </w:r>
          </w:p>
        </w:tc>
      </w:tr>
    </w:tbl>
    <w:p w14:paraId="551D421E" w14:textId="77777777" w:rsidR="00D310E5" w:rsidRDefault="00D310E5">
      <w:bookmarkStart w:id="1" w:name="_GoBack"/>
      <w:bookmarkEnd w:id="1"/>
    </w:p>
    <w:sectPr w:rsidR="00D310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E0E76"/>
    <w:multiLevelType w:val="hybridMultilevel"/>
    <w:tmpl w:val="FA787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8EB"/>
    <w:rsid w:val="003858EB"/>
    <w:rsid w:val="00D31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B512C"/>
  <w15:chartTrackingRefBased/>
  <w15:docId w15:val="{4FEFEA61-B50C-443D-8770-109FBE58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5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58E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SDGTableDefault">
    <w:name w:val="SDG Table Default"/>
    <w:basedOn w:val="TableNormal"/>
    <w:uiPriority w:val="16"/>
    <w:rsid w:val="003858EB"/>
    <w:pPr>
      <w:spacing w:before="50" w:after="50" w:line="180" w:lineRule="atLeast"/>
    </w:pPr>
    <w:rPr>
      <w:color w:val="404040" w:themeColor="text1" w:themeTint="BF"/>
      <w:sz w:val="18"/>
    </w:rPr>
    <w:tblPr>
      <w:tblStyleRowBandSize w:val="1"/>
      <w:tblInd w:w="108" w:type="dxa"/>
      <w:tblBorders>
        <w:bottom w:val="single" w:sz="18" w:space="0" w:color="E7E6E6" w:themeColor="background2"/>
        <w:insideV w:val="single" w:sz="6" w:space="0" w:color="FFFFFF" w:themeColor="background1"/>
      </w:tblBorders>
    </w:tblPr>
    <w:trPr>
      <w:cantSplit/>
    </w:trPr>
    <w:tcPr>
      <w:vAlign w:val="center"/>
    </w:tcPr>
    <w:tblStylePr w:type="firstRow">
      <w:pPr>
        <w:keepNext/>
        <w:keepLines/>
        <w:wordWrap/>
      </w:pPr>
      <w:rPr>
        <w:b/>
        <w:color w:val="FFFFFF" w:themeColor="background1"/>
      </w:rPr>
      <w:tblPr/>
      <w:trPr>
        <w:tblHeader/>
      </w:trPr>
      <w:tcPr>
        <w:shd w:val="clear" w:color="auto" w:fill="E7E6E6" w:themeFill="background2"/>
      </w:tcPr>
    </w:tblStylePr>
    <w:tblStylePr w:type="lastRow">
      <w:rPr>
        <w:b/>
      </w:rPr>
      <w:tblPr/>
      <w:tcPr>
        <w:tcBorders>
          <w:top w:val="single" w:sz="4" w:space="0" w:color="E7E6E6" w:themeColor="background2"/>
          <w:left w:val="nil"/>
          <w:bottom w:val="single" w:sz="18" w:space="0" w:color="E7E6E6" w:themeColor="background2"/>
          <w:right w:val="nil"/>
          <w:insideH w:val="nil"/>
          <w:insideV w:val="nil"/>
          <w:tl2br w:val="nil"/>
          <w:tr2bl w:val="nil"/>
        </w:tcBorders>
      </w:tcPr>
    </w:tblStylePr>
    <w:tblStylePr w:type="firstCol">
      <w:pPr>
        <w:jc w:val="left"/>
      </w:pPr>
    </w:tblStylePr>
    <w:tblStylePr w:type="band1Horz">
      <w:tblPr/>
      <w:tcPr>
        <w:shd w:val="clear" w:color="auto" w:fill="70AD47" w:themeFill="accent6"/>
      </w:tcPr>
    </w:tblStylePr>
  </w:style>
  <w:style w:type="paragraph" w:styleId="ListParagraph">
    <w:name w:val="List Paragraph"/>
    <w:basedOn w:val="Normal"/>
    <w:uiPriority w:val="34"/>
    <w:rsid w:val="003858EB"/>
    <w:pPr>
      <w:spacing w:before="140" w:after="140" w:line="280" w:lineRule="atLeast"/>
      <w:ind w:left="720"/>
      <w:contextualSpacing/>
    </w:pPr>
    <w:rPr>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10" ma:contentTypeDescription="Create a new document." ma:contentTypeScope="" ma:versionID="782645a34046d1a8fc64f6215d8033ee">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1e445478a6b847f7df0eec7dacf49824"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5C14DB-E5E6-44D5-B450-CFC61A59FC89}"/>
</file>

<file path=customXml/itemProps2.xml><?xml version="1.0" encoding="utf-8"?>
<ds:datastoreItem xmlns:ds="http://schemas.openxmlformats.org/officeDocument/2006/customXml" ds:itemID="{A0DC5931-1214-498D-B4B4-B76991E91488}">
  <ds:schemaRefs>
    <ds:schemaRef ds:uri="http://schemas.microsoft.com/sharepoint/v3/contenttype/forms"/>
  </ds:schemaRefs>
</ds:datastoreItem>
</file>

<file path=customXml/itemProps3.xml><?xml version="1.0" encoding="utf-8"?>
<ds:datastoreItem xmlns:ds="http://schemas.openxmlformats.org/officeDocument/2006/customXml" ds:itemID="{B776C777-227E-4926-AFF1-127EC509A734}">
  <ds:schemaRefs>
    <ds:schemaRef ds:uri="http://purl.org/dc/elements/1.1/"/>
    <ds:schemaRef ds:uri="http://schemas.microsoft.com/office/2006/metadata/properties"/>
    <ds:schemaRef ds:uri="http://purl.org/dc/terms/"/>
    <ds:schemaRef ds:uri="5478f610-55f3-467b-bec7-79e756b45d50"/>
    <ds:schemaRef ds:uri="http://schemas.microsoft.com/office/2006/documentManagement/types"/>
    <ds:schemaRef ds:uri="http://schemas.microsoft.com/office/infopath/2007/PartnerControls"/>
    <ds:schemaRef ds:uri="c754507d-80b7-4732-aa91-1bd259b279a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Robison</dc:creator>
  <cp:keywords/>
  <dc:description/>
  <cp:lastModifiedBy>Paul Robison</cp:lastModifiedBy>
  <cp:revision>1</cp:revision>
  <dcterms:created xsi:type="dcterms:W3CDTF">2018-08-16T17:46:00Z</dcterms:created>
  <dcterms:modified xsi:type="dcterms:W3CDTF">2018-08-16T17:47:00Z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ies>
</file>